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E7" w:rsidRPr="00BB61E7" w:rsidRDefault="00BB61E7" w:rsidP="00BB61E7">
      <w:pPr>
        <w:shd w:val="clear" w:color="auto" w:fill="FFFFFF"/>
        <w:spacing w:after="0" w:line="240" w:lineRule="auto"/>
        <w:jc w:val="both"/>
        <w:rPr>
          <w:rFonts w:ascii="Arial" w:eastAsia="Times New Roman" w:hAnsi="Arial" w:cs="Arial"/>
          <w:color w:val="222222"/>
          <w:sz w:val="24"/>
          <w:szCs w:val="24"/>
          <w:lang w:eastAsia="es-AR"/>
        </w:rPr>
      </w:pPr>
      <w:r w:rsidRPr="00BB61E7">
        <w:rPr>
          <w:rFonts w:ascii="Arial" w:eastAsia="Times New Roman" w:hAnsi="Arial" w:cs="Arial"/>
          <w:color w:val="222222"/>
          <w:sz w:val="24"/>
          <w:szCs w:val="24"/>
          <w:lang w:eastAsia="es-AR"/>
        </w:rPr>
        <w:t xml:space="preserve">Disuria y tenesmo... ¿Siempre una infección urinaria? </w:t>
      </w:r>
      <w:proofErr w:type="spellStart"/>
      <w:r w:rsidRPr="00BB61E7">
        <w:rPr>
          <w:rFonts w:ascii="Arial" w:eastAsia="Times New Roman" w:hAnsi="Arial" w:cs="Arial"/>
          <w:color w:val="222222"/>
          <w:sz w:val="24"/>
          <w:szCs w:val="24"/>
          <w:lang w:eastAsia="es-AR"/>
        </w:rPr>
        <w:t>Estafilococcemia</w:t>
      </w:r>
      <w:proofErr w:type="spellEnd"/>
      <w:r w:rsidRPr="00BB61E7">
        <w:rPr>
          <w:rFonts w:ascii="Arial" w:eastAsia="Times New Roman" w:hAnsi="Arial" w:cs="Arial"/>
          <w:color w:val="222222"/>
          <w:sz w:val="24"/>
          <w:szCs w:val="24"/>
          <w:lang w:eastAsia="es-AR"/>
        </w:rPr>
        <w:t xml:space="preserve"> complicada.</w:t>
      </w:r>
    </w:p>
    <w:p w:rsidR="003B2C73" w:rsidRPr="003B2C73" w:rsidRDefault="003B2C73" w:rsidP="003B2C73">
      <w:pPr>
        <w:shd w:val="clear" w:color="auto" w:fill="FFFFFF"/>
        <w:spacing w:after="0" w:line="240" w:lineRule="auto"/>
        <w:rPr>
          <w:rFonts w:ascii="Arial" w:eastAsia="Times New Roman" w:hAnsi="Arial" w:cs="Arial"/>
          <w:color w:val="222222"/>
          <w:sz w:val="24"/>
          <w:szCs w:val="24"/>
          <w:lang w:eastAsia="es-AR"/>
        </w:rPr>
      </w:pPr>
      <w:r w:rsidRPr="003B2C73">
        <w:rPr>
          <w:rFonts w:ascii="Arial" w:eastAsia="Times New Roman" w:hAnsi="Arial" w:cs="Arial"/>
          <w:color w:val="222222"/>
          <w:sz w:val="24"/>
          <w:szCs w:val="24"/>
          <w:lang w:eastAsia="es-AR"/>
        </w:rPr>
        <w:t xml:space="preserve">Autores: </w:t>
      </w:r>
      <w:proofErr w:type="spellStart"/>
      <w:r w:rsidRPr="003B2C73">
        <w:rPr>
          <w:rFonts w:ascii="Arial" w:eastAsia="Times New Roman" w:hAnsi="Arial" w:cs="Arial"/>
          <w:color w:val="222222"/>
          <w:sz w:val="24"/>
          <w:szCs w:val="24"/>
          <w:lang w:eastAsia="es-AR"/>
        </w:rPr>
        <w:t>Milhomme</w:t>
      </w:r>
      <w:proofErr w:type="spellEnd"/>
      <w:r w:rsidRPr="003B2C73">
        <w:rPr>
          <w:rFonts w:ascii="Arial" w:eastAsia="Times New Roman" w:hAnsi="Arial" w:cs="Arial"/>
          <w:color w:val="222222"/>
          <w:sz w:val="24"/>
          <w:szCs w:val="24"/>
          <w:lang w:eastAsia="es-AR"/>
        </w:rPr>
        <w:t xml:space="preserve">, Antonina, Paola </w:t>
      </w:r>
      <w:proofErr w:type="spellStart"/>
      <w:r w:rsidRPr="003B2C73">
        <w:rPr>
          <w:rFonts w:ascii="Arial" w:eastAsia="Times New Roman" w:hAnsi="Arial" w:cs="Arial"/>
          <w:color w:val="222222"/>
          <w:sz w:val="24"/>
          <w:szCs w:val="24"/>
          <w:lang w:eastAsia="es-AR"/>
        </w:rPr>
        <w:t>Novelli</w:t>
      </w:r>
      <w:proofErr w:type="spellEnd"/>
      <w:r w:rsidRPr="003B2C73">
        <w:rPr>
          <w:rFonts w:ascii="Arial" w:eastAsia="Times New Roman" w:hAnsi="Arial" w:cs="Arial"/>
          <w:color w:val="222222"/>
          <w:sz w:val="24"/>
          <w:szCs w:val="24"/>
          <w:lang w:eastAsia="es-AR"/>
        </w:rPr>
        <w:t>, Pablo Rodas, Juan Ignacio Latonas</w:t>
      </w:r>
    </w:p>
    <w:p w:rsidR="003B2C73" w:rsidRPr="003B2C73" w:rsidRDefault="003B2C73" w:rsidP="003B2C73">
      <w:pPr>
        <w:shd w:val="clear" w:color="auto" w:fill="FFFFFF"/>
        <w:spacing w:after="0" w:line="240" w:lineRule="auto"/>
        <w:rPr>
          <w:rFonts w:ascii="Arial" w:eastAsia="Times New Roman" w:hAnsi="Arial" w:cs="Arial"/>
          <w:color w:val="222222"/>
          <w:sz w:val="24"/>
          <w:szCs w:val="24"/>
          <w:lang w:eastAsia="es-AR"/>
        </w:rPr>
      </w:pPr>
      <w:r w:rsidRPr="003B2C73">
        <w:rPr>
          <w:rFonts w:ascii="Arial" w:eastAsia="Times New Roman" w:hAnsi="Arial" w:cs="Arial"/>
          <w:color w:val="222222"/>
          <w:sz w:val="24"/>
          <w:szCs w:val="24"/>
          <w:lang w:eastAsia="es-AR"/>
        </w:rPr>
        <w:t>Servicio Clínica Médica</w:t>
      </w:r>
    </w:p>
    <w:p w:rsidR="003B2C73" w:rsidRPr="003B2C73" w:rsidRDefault="003B2C73" w:rsidP="003B2C73">
      <w:pPr>
        <w:shd w:val="clear" w:color="auto" w:fill="FFFFFF"/>
        <w:spacing w:after="0" w:line="240" w:lineRule="auto"/>
        <w:rPr>
          <w:rFonts w:ascii="Arial" w:eastAsia="Times New Roman" w:hAnsi="Arial" w:cs="Arial"/>
          <w:color w:val="222222"/>
          <w:sz w:val="24"/>
          <w:szCs w:val="24"/>
          <w:lang w:eastAsia="es-AR"/>
        </w:rPr>
      </w:pPr>
      <w:hyperlink r:id="rId4" w:tgtFrame="_blank" w:history="1">
        <w:r w:rsidRPr="003B2C73">
          <w:rPr>
            <w:rFonts w:ascii="Arial" w:eastAsia="Times New Roman" w:hAnsi="Arial" w:cs="Arial"/>
            <w:color w:val="1155CC"/>
            <w:sz w:val="24"/>
            <w:szCs w:val="24"/>
            <w:u w:val="single"/>
            <w:lang w:eastAsia="es-AR"/>
          </w:rPr>
          <w:t>Mail:samazap@gmail.com</w:t>
        </w:r>
      </w:hyperlink>
    </w:p>
    <w:p w:rsidR="00BB61E7" w:rsidRDefault="00BB61E7" w:rsidP="00BB61E7">
      <w:pPr>
        <w:shd w:val="clear" w:color="auto" w:fill="FFFFFF"/>
        <w:spacing w:after="0" w:line="240" w:lineRule="auto"/>
        <w:jc w:val="both"/>
        <w:rPr>
          <w:rFonts w:ascii="Arial" w:eastAsia="Times New Roman" w:hAnsi="Arial" w:cs="Arial"/>
          <w:color w:val="222222"/>
          <w:sz w:val="24"/>
          <w:szCs w:val="24"/>
          <w:lang w:eastAsia="es-AR"/>
        </w:rPr>
      </w:pPr>
      <w:bookmarkStart w:id="0" w:name="_GoBack"/>
      <w:bookmarkEnd w:id="0"/>
    </w:p>
    <w:p w:rsidR="00BB61E7" w:rsidRDefault="00BB61E7" w:rsidP="00BB61E7">
      <w:pPr>
        <w:shd w:val="clear" w:color="auto" w:fill="FFFFFF"/>
        <w:spacing w:after="0" w:line="240" w:lineRule="auto"/>
        <w:jc w:val="both"/>
        <w:rPr>
          <w:rFonts w:ascii="Arial" w:eastAsia="Times New Roman" w:hAnsi="Arial" w:cs="Arial"/>
          <w:color w:val="222222"/>
          <w:sz w:val="24"/>
          <w:szCs w:val="24"/>
          <w:lang w:eastAsia="es-AR"/>
        </w:rPr>
      </w:pPr>
      <w:r w:rsidRPr="00BB61E7">
        <w:rPr>
          <w:rFonts w:ascii="Arial" w:eastAsia="Times New Roman" w:hAnsi="Arial" w:cs="Arial"/>
          <w:color w:val="222222"/>
          <w:sz w:val="24"/>
          <w:szCs w:val="24"/>
          <w:lang w:eastAsia="es-AR"/>
        </w:rPr>
        <w:t xml:space="preserve">Introducción: La </w:t>
      </w:r>
      <w:proofErr w:type="spellStart"/>
      <w:r w:rsidRPr="00BB61E7">
        <w:rPr>
          <w:rFonts w:ascii="Arial" w:eastAsia="Times New Roman" w:hAnsi="Arial" w:cs="Arial"/>
          <w:color w:val="222222"/>
          <w:sz w:val="24"/>
          <w:szCs w:val="24"/>
          <w:lang w:eastAsia="es-AR"/>
        </w:rPr>
        <w:t>estafilococcemia</w:t>
      </w:r>
      <w:proofErr w:type="spellEnd"/>
      <w:r w:rsidRPr="00BB61E7">
        <w:rPr>
          <w:rFonts w:ascii="Arial" w:eastAsia="Times New Roman" w:hAnsi="Arial" w:cs="Arial"/>
          <w:color w:val="222222"/>
          <w:sz w:val="24"/>
          <w:szCs w:val="24"/>
          <w:lang w:eastAsia="es-AR"/>
        </w:rPr>
        <w:t xml:space="preserve"> era considerada una patología de origen netamente nosocomial, </w:t>
      </w:r>
      <w:proofErr w:type="spellStart"/>
      <w:r w:rsidRPr="00BB61E7">
        <w:rPr>
          <w:rFonts w:ascii="Arial" w:eastAsia="Times New Roman" w:hAnsi="Arial" w:cs="Arial"/>
          <w:color w:val="222222"/>
          <w:sz w:val="24"/>
          <w:szCs w:val="24"/>
          <w:lang w:eastAsia="es-AR"/>
        </w:rPr>
        <w:t>evidenciandose</w:t>
      </w:r>
      <w:proofErr w:type="spellEnd"/>
      <w:r w:rsidRPr="00BB61E7">
        <w:rPr>
          <w:rFonts w:ascii="Arial" w:eastAsia="Times New Roman" w:hAnsi="Arial" w:cs="Arial"/>
          <w:color w:val="222222"/>
          <w:sz w:val="24"/>
          <w:szCs w:val="24"/>
          <w:lang w:eastAsia="es-AR"/>
        </w:rPr>
        <w:t xml:space="preserve"> en los últimos años un incremento a nivel de la comunidad, siendo el principal punto de partida infecciones en piel y partes blandas, entre ellos por forunculosis o abscesos. Con respecto a los factores de riesgos más relevantes son: diabetes mal controlada, proceso oncológico activo, el uso de corticoides de forma crónica y/o requerimiento de diálisis. Se puede observar un incremento en las infecciones por estafilococos </w:t>
      </w:r>
      <w:proofErr w:type="spellStart"/>
      <w:r w:rsidRPr="00BB61E7">
        <w:rPr>
          <w:rFonts w:ascii="Arial" w:eastAsia="Times New Roman" w:hAnsi="Arial" w:cs="Arial"/>
          <w:color w:val="222222"/>
          <w:sz w:val="24"/>
          <w:szCs w:val="24"/>
          <w:lang w:eastAsia="es-AR"/>
        </w:rPr>
        <w:t>aureus</w:t>
      </w:r>
      <w:proofErr w:type="spellEnd"/>
      <w:r w:rsidRPr="00BB61E7">
        <w:rPr>
          <w:rFonts w:ascii="Arial" w:eastAsia="Times New Roman" w:hAnsi="Arial" w:cs="Arial"/>
          <w:color w:val="222222"/>
          <w:sz w:val="24"/>
          <w:szCs w:val="24"/>
          <w:lang w:eastAsia="es-AR"/>
        </w:rPr>
        <w:t xml:space="preserve"> </w:t>
      </w:r>
      <w:proofErr w:type="spellStart"/>
      <w:r w:rsidRPr="00BB61E7">
        <w:rPr>
          <w:rFonts w:ascii="Arial" w:eastAsia="Times New Roman" w:hAnsi="Arial" w:cs="Arial"/>
          <w:color w:val="222222"/>
          <w:sz w:val="24"/>
          <w:szCs w:val="24"/>
          <w:lang w:eastAsia="es-AR"/>
        </w:rPr>
        <w:t>meticilino</w:t>
      </w:r>
      <w:proofErr w:type="spellEnd"/>
      <w:r w:rsidRPr="00BB61E7">
        <w:rPr>
          <w:rFonts w:ascii="Arial" w:eastAsia="Times New Roman" w:hAnsi="Arial" w:cs="Arial"/>
          <w:color w:val="222222"/>
          <w:sz w:val="24"/>
          <w:szCs w:val="24"/>
          <w:lang w:eastAsia="es-AR"/>
        </w:rPr>
        <w:t xml:space="preserve"> resistente de la comunidad, lo cual nos obliga a tenerlo presente a la hora del diagnóstico y tratamiento. </w:t>
      </w:r>
    </w:p>
    <w:p w:rsidR="00BB61E7" w:rsidRDefault="00BB61E7" w:rsidP="00BB61E7">
      <w:pPr>
        <w:shd w:val="clear" w:color="auto" w:fill="FFFFFF"/>
        <w:spacing w:after="0" w:line="240" w:lineRule="auto"/>
        <w:jc w:val="both"/>
        <w:rPr>
          <w:rFonts w:ascii="Arial" w:eastAsia="Times New Roman" w:hAnsi="Arial" w:cs="Arial"/>
          <w:color w:val="222222"/>
          <w:sz w:val="24"/>
          <w:szCs w:val="24"/>
          <w:lang w:eastAsia="es-AR"/>
        </w:rPr>
      </w:pPr>
      <w:r w:rsidRPr="00BB61E7">
        <w:rPr>
          <w:rFonts w:ascii="Arial" w:eastAsia="Times New Roman" w:hAnsi="Arial" w:cs="Arial"/>
          <w:color w:val="222222"/>
          <w:sz w:val="24"/>
          <w:szCs w:val="24"/>
          <w:lang w:eastAsia="es-AR"/>
        </w:rPr>
        <w:t xml:space="preserve">A continuación comentaremos el caso de un paciente con síntomas urinarios persistentes con mala evolución ambulatoria. Caso clínico: Paciente masculino de 48 años, con antecedentes de hipertensión arterial, diabetes mellitus no </w:t>
      </w:r>
      <w:proofErr w:type="spellStart"/>
      <w:r w:rsidRPr="00BB61E7">
        <w:rPr>
          <w:rFonts w:ascii="Arial" w:eastAsia="Times New Roman" w:hAnsi="Arial" w:cs="Arial"/>
          <w:color w:val="222222"/>
          <w:sz w:val="24"/>
          <w:szCs w:val="24"/>
          <w:lang w:eastAsia="es-AR"/>
        </w:rPr>
        <w:t>insulino</w:t>
      </w:r>
      <w:proofErr w:type="spellEnd"/>
      <w:r w:rsidRPr="00BB61E7">
        <w:rPr>
          <w:rFonts w:ascii="Arial" w:eastAsia="Times New Roman" w:hAnsi="Arial" w:cs="Arial"/>
          <w:color w:val="222222"/>
          <w:sz w:val="24"/>
          <w:szCs w:val="24"/>
          <w:lang w:eastAsia="es-AR"/>
        </w:rPr>
        <w:t xml:space="preserve"> requirente, HbA1c 10%, infarto agudo de miocardio con 3 </w:t>
      </w:r>
      <w:proofErr w:type="spellStart"/>
      <w:r w:rsidRPr="00BB61E7">
        <w:rPr>
          <w:rFonts w:ascii="Arial" w:eastAsia="Times New Roman" w:hAnsi="Arial" w:cs="Arial"/>
          <w:color w:val="222222"/>
          <w:sz w:val="24"/>
          <w:szCs w:val="24"/>
          <w:lang w:eastAsia="es-AR"/>
        </w:rPr>
        <w:t>stents</w:t>
      </w:r>
      <w:proofErr w:type="spellEnd"/>
      <w:r w:rsidRPr="00BB61E7">
        <w:rPr>
          <w:rFonts w:ascii="Arial" w:eastAsia="Times New Roman" w:hAnsi="Arial" w:cs="Arial"/>
          <w:color w:val="222222"/>
          <w:sz w:val="24"/>
          <w:szCs w:val="24"/>
          <w:lang w:eastAsia="es-AR"/>
        </w:rPr>
        <w:t xml:space="preserve"> y forunculosis axilar. Inicia su cuadro clínico con disuria, incontinencia urinaria y fiebre; con realización de reiterados esquemas terapéuticos ambulatorios </w:t>
      </w:r>
      <w:proofErr w:type="spellStart"/>
      <w:r w:rsidRPr="00BB61E7">
        <w:rPr>
          <w:rFonts w:ascii="Arial" w:eastAsia="Times New Roman" w:hAnsi="Arial" w:cs="Arial"/>
          <w:color w:val="222222"/>
          <w:sz w:val="24"/>
          <w:szCs w:val="24"/>
          <w:lang w:eastAsia="es-AR"/>
        </w:rPr>
        <w:t>frustros</w:t>
      </w:r>
      <w:proofErr w:type="spellEnd"/>
      <w:r w:rsidRPr="00BB61E7">
        <w:rPr>
          <w:rFonts w:ascii="Arial" w:eastAsia="Times New Roman" w:hAnsi="Arial" w:cs="Arial"/>
          <w:color w:val="222222"/>
          <w:sz w:val="24"/>
          <w:szCs w:val="24"/>
          <w:lang w:eastAsia="es-AR"/>
        </w:rPr>
        <w:t>, por lo que se decide su internación. Se realiza ecografía reno-</w:t>
      </w:r>
      <w:proofErr w:type="spellStart"/>
      <w:r w:rsidRPr="00BB61E7">
        <w:rPr>
          <w:rFonts w:ascii="Arial" w:eastAsia="Times New Roman" w:hAnsi="Arial" w:cs="Arial"/>
          <w:color w:val="222222"/>
          <w:sz w:val="24"/>
          <w:szCs w:val="24"/>
          <w:lang w:eastAsia="es-AR"/>
        </w:rPr>
        <w:t>vesico</w:t>
      </w:r>
      <w:proofErr w:type="spellEnd"/>
      <w:r w:rsidRPr="00BB61E7">
        <w:rPr>
          <w:rFonts w:ascii="Arial" w:eastAsia="Times New Roman" w:hAnsi="Arial" w:cs="Arial"/>
          <w:color w:val="222222"/>
          <w:sz w:val="24"/>
          <w:szCs w:val="24"/>
          <w:lang w:eastAsia="es-AR"/>
        </w:rPr>
        <w:t xml:space="preserve">-prostática, sin evidencia de complicaciones y se inicia tratamiento con </w:t>
      </w:r>
      <w:proofErr w:type="spellStart"/>
      <w:r w:rsidRPr="00BB61E7">
        <w:rPr>
          <w:rFonts w:ascii="Arial" w:eastAsia="Times New Roman" w:hAnsi="Arial" w:cs="Arial"/>
          <w:color w:val="222222"/>
          <w:sz w:val="24"/>
          <w:szCs w:val="24"/>
          <w:lang w:eastAsia="es-AR"/>
        </w:rPr>
        <w:t>ceftriaxona</w:t>
      </w:r>
      <w:proofErr w:type="spellEnd"/>
      <w:r w:rsidRPr="00BB61E7">
        <w:rPr>
          <w:rFonts w:ascii="Arial" w:eastAsia="Times New Roman" w:hAnsi="Arial" w:cs="Arial"/>
          <w:color w:val="222222"/>
          <w:sz w:val="24"/>
          <w:szCs w:val="24"/>
          <w:lang w:eastAsia="es-AR"/>
        </w:rPr>
        <w:t xml:space="preserve">. Evoluciona durante la internación con tenesmo y disminución de la agudeza visual, por lo que se realiza tomografía axial computada de abdomen y pelvis con contraste y fondo de ojo por oftalmología. Se diagnostica la presencia de abscesos prostáticos, los cuales son múltiples y de pequeño tamaño por lo que se decide no drenar, continuando tratamiento médico con antibiótico y controles posteriores con imágenes. El servicio de oftalmología, interpreta el cuadro como </w:t>
      </w:r>
      <w:proofErr w:type="spellStart"/>
      <w:r w:rsidRPr="00BB61E7">
        <w:rPr>
          <w:rFonts w:ascii="Arial" w:eastAsia="Times New Roman" w:hAnsi="Arial" w:cs="Arial"/>
          <w:color w:val="222222"/>
          <w:sz w:val="24"/>
          <w:szCs w:val="24"/>
          <w:lang w:eastAsia="es-AR"/>
        </w:rPr>
        <w:t>vitreitis</w:t>
      </w:r>
      <w:proofErr w:type="spellEnd"/>
      <w:r w:rsidRPr="00BB61E7">
        <w:rPr>
          <w:rFonts w:ascii="Arial" w:eastAsia="Times New Roman" w:hAnsi="Arial" w:cs="Arial"/>
          <w:color w:val="222222"/>
          <w:sz w:val="24"/>
          <w:szCs w:val="24"/>
          <w:lang w:eastAsia="es-AR"/>
        </w:rPr>
        <w:t xml:space="preserve"> infecciosa, sugiriendo mismo tratamiento médico. En forma conjunta se recupera resultado de hemocultivos siendo positivos para </w:t>
      </w:r>
      <w:proofErr w:type="spellStart"/>
      <w:r w:rsidRPr="00BB61E7">
        <w:rPr>
          <w:rFonts w:ascii="Arial" w:eastAsia="Times New Roman" w:hAnsi="Arial" w:cs="Arial"/>
          <w:color w:val="222222"/>
          <w:sz w:val="24"/>
          <w:szCs w:val="24"/>
          <w:lang w:eastAsia="es-AR"/>
        </w:rPr>
        <w:t>staphylococcus</w:t>
      </w:r>
      <w:proofErr w:type="spellEnd"/>
      <w:r w:rsidRPr="00BB61E7">
        <w:rPr>
          <w:rFonts w:ascii="Arial" w:eastAsia="Times New Roman" w:hAnsi="Arial" w:cs="Arial"/>
          <w:color w:val="222222"/>
          <w:sz w:val="24"/>
          <w:szCs w:val="24"/>
          <w:lang w:eastAsia="es-AR"/>
        </w:rPr>
        <w:t xml:space="preserve"> </w:t>
      </w:r>
      <w:proofErr w:type="spellStart"/>
      <w:r w:rsidRPr="00BB61E7">
        <w:rPr>
          <w:rFonts w:ascii="Arial" w:eastAsia="Times New Roman" w:hAnsi="Arial" w:cs="Arial"/>
          <w:color w:val="222222"/>
          <w:sz w:val="24"/>
          <w:szCs w:val="24"/>
          <w:lang w:eastAsia="es-AR"/>
        </w:rPr>
        <w:t>aureus</w:t>
      </w:r>
      <w:proofErr w:type="spellEnd"/>
      <w:r w:rsidRPr="00BB61E7">
        <w:rPr>
          <w:rFonts w:ascii="Arial" w:eastAsia="Times New Roman" w:hAnsi="Arial" w:cs="Arial"/>
          <w:color w:val="222222"/>
          <w:sz w:val="24"/>
          <w:szCs w:val="24"/>
          <w:lang w:eastAsia="es-AR"/>
        </w:rPr>
        <w:t xml:space="preserve"> </w:t>
      </w:r>
      <w:proofErr w:type="spellStart"/>
      <w:r w:rsidRPr="00BB61E7">
        <w:rPr>
          <w:rFonts w:ascii="Arial" w:eastAsia="Times New Roman" w:hAnsi="Arial" w:cs="Arial"/>
          <w:color w:val="222222"/>
          <w:sz w:val="24"/>
          <w:szCs w:val="24"/>
          <w:lang w:eastAsia="es-AR"/>
        </w:rPr>
        <w:t>meticilino</w:t>
      </w:r>
      <w:proofErr w:type="spellEnd"/>
      <w:r w:rsidRPr="00BB61E7">
        <w:rPr>
          <w:rFonts w:ascii="Arial" w:eastAsia="Times New Roman" w:hAnsi="Arial" w:cs="Arial"/>
          <w:color w:val="222222"/>
          <w:sz w:val="24"/>
          <w:szCs w:val="24"/>
          <w:lang w:eastAsia="es-AR"/>
        </w:rPr>
        <w:t xml:space="preserve"> resistente, por lo que se interpreta cuadro secundario a </w:t>
      </w:r>
      <w:proofErr w:type="spellStart"/>
      <w:r w:rsidRPr="00BB61E7">
        <w:rPr>
          <w:rFonts w:ascii="Arial" w:eastAsia="Times New Roman" w:hAnsi="Arial" w:cs="Arial"/>
          <w:color w:val="222222"/>
          <w:sz w:val="24"/>
          <w:szCs w:val="24"/>
          <w:lang w:eastAsia="es-AR"/>
        </w:rPr>
        <w:t>estafilococcemia</w:t>
      </w:r>
      <w:proofErr w:type="spellEnd"/>
      <w:r w:rsidRPr="00BB61E7">
        <w:rPr>
          <w:rFonts w:ascii="Arial" w:eastAsia="Times New Roman" w:hAnsi="Arial" w:cs="Arial"/>
          <w:color w:val="222222"/>
          <w:sz w:val="24"/>
          <w:szCs w:val="24"/>
          <w:lang w:eastAsia="es-AR"/>
        </w:rPr>
        <w:t xml:space="preserve"> complicada, motivo por el cual se rota antibiótico a </w:t>
      </w:r>
      <w:proofErr w:type="spellStart"/>
      <w:r w:rsidRPr="00BB61E7">
        <w:rPr>
          <w:rFonts w:ascii="Arial" w:eastAsia="Times New Roman" w:hAnsi="Arial" w:cs="Arial"/>
          <w:color w:val="222222"/>
          <w:sz w:val="24"/>
          <w:szCs w:val="24"/>
          <w:lang w:eastAsia="es-AR"/>
        </w:rPr>
        <w:t>vancomicina</w:t>
      </w:r>
      <w:proofErr w:type="spellEnd"/>
      <w:r w:rsidRPr="00BB61E7">
        <w:rPr>
          <w:rFonts w:ascii="Arial" w:eastAsia="Times New Roman" w:hAnsi="Arial" w:cs="Arial"/>
          <w:color w:val="222222"/>
          <w:sz w:val="24"/>
          <w:szCs w:val="24"/>
          <w:lang w:eastAsia="es-AR"/>
        </w:rPr>
        <w:t xml:space="preserve">, con notable mejoría clínica. Completa 28 días de tratamiento efectivo, con hemocultivos control negativo, se realiza ecocardiograma </w:t>
      </w:r>
      <w:proofErr w:type="spellStart"/>
      <w:r w:rsidRPr="00BB61E7">
        <w:rPr>
          <w:rFonts w:ascii="Arial" w:eastAsia="Times New Roman" w:hAnsi="Arial" w:cs="Arial"/>
          <w:color w:val="222222"/>
          <w:sz w:val="24"/>
          <w:szCs w:val="24"/>
          <w:lang w:eastAsia="es-AR"/>
        </w:rPr>
        <w:t>transtorácico</w:t>
      </w:r>
      <w:proofErr w:type="spellEnd"/>
      <w:r w:rsidRPr="00BB61E7">
        <w:rPr>
          <w:rFonts w:ascii="Arial" w:eastAsia="Times New Roman" w:hAnsi="Arial" w:cs="Arial"/>
          <w:color w:val="222222"/>
          <w:sz w:val="24"/>
          <w:szCs w:val="24"/>
          <w:lang w:eastAsia="es-AR"/>
        </w:rPr>
        <w:t xml:space="preserve"> sin vegetaciones, se indica tratamiento con </w:t>
      </w:r>
      <w:proofErr w:type="spellStart"/>
      <w:r w:rsidRPr="00BB61E7">
        <w:rPr>
          <w:rFonts w:ascii="Arial" w:eastAsia="Times New Roman" w:hAnsi="Arial" w:cs="Arial"/>
          <w:color w:val="222222"/>
          <w:sz w:val="24"/>
          <w:szCs w:val="24"/>
          <w:lang w:eastAsia="es-AR"/>
        </w:rPr>
        <w:t>mupirocina</w:t>
      </w:r>
      <w:proofErr w:type="spellEnd"/>
      <w:r w:rsidRPr="00BB61E7">
        <w:rPr>
          <w:rFonts w:ascii="Arial" w:eastAsia="Times New Roman" w:hAnsi="Arial" w:cs="Arial"/>
          <w:color w:val="222222"/>
          <w:sz w:val="24"/>
          <w:szCs w:val="24"/>
          <w:lang w:eastAsia="es-AR"/>
        </w:rPr>
        <w:t xml:space="preserve"> nasal al 2% y </w:t>
      </w:r>
      <w:proofErr w:type="spellStart"/>
      <w:r w:rsidRPr="00BB61E7">
        <w:rPr>
          <w:rFonts w:ascii="Arial" w:eastAsia="Times New Roman" w:hAnsi="Arial" w:cs="Arial"/>
          <w:color w:val="222222"/>
          <w:sz w:val="24"/>
          <w:szCs w:val="24"/>
          <w:lang w:eastAsia="es-AR"/>
        </w:rPr>
        <w:t>clorhexidina</w:t>
      </w:r>
      <w:proofErr w:type="spellEnd"/>
      <w:r w:rsidRPr="00BB61E7">
        <w:rPr>
          <w:rFonts w:ascii="Arial" w:eastAsia="Times New Roman" w:hAnsi="Arial" w:cs="Arial"/>
          <w:color w:val="222222"/>
          <w:sz w:val="24"/>
          <w:szCs w:val="24"/>
          <w:lang w:eastAsia="es-AR"/>
        </w:rPr>
        <w:t xml:space="preserve"> para descontaminación cutánea. Se realiza imagen prostática control, con disminución de abscesos y posterior desaparición de los mismos. El paciente evoluciona favorablemente, continuando controles ambulatorios. </w:t>
      </w:r>
    </w:p>
    <w:p w:rsidR="00BB61E7" w:rsidRPr="00BB61E7" w:rsidRDefault="00BB61E7" w:rsidP="00BB61E7">
      <w:pPr>
        <w:shd w:val="clear" w:color="auto" w:fill="FFFFFF"/>
        <w:spacing w:after="0" w:line="240" w:lineRule="auto"/>
        <w:jc w:val="both"/>
        <w:rPr>
          <w:rFonts w:ascii="Arial" w:eastAsia="Times New Roman" w:hAnsi="Arial" w:cs="Arial"/>
          <w:color w:val="222222"/>
          <w:sz w:val="24"/>
          <w:szCs w:val="24"/>
          <w:lang w:eastAsia="es-AR"/>
        </w:rPr>
      </w:pPr>
      <w:r w:rsidRPr="00BB61E7">
        <w:rPr>
          <w:rFonts w:ascii="Arial" w:eastAsia="Times New Roman" w:hAnsi="Arial" w:cs="Arial"/>
          <w:color w:val="222222"/>
          <w:sz w:val="24"/>
          <w:szCs w:val="24"/>
          <w:lang w:eastAsia="es-AR"/>
        </w:rPr>
        <w:t xml:space="preserve">Comentario: Se interpreta cuadro como </w:t>
      </w:r>
      <w:proofErr w:type="spellStart"/>
      <w:r w:rsidRPr="00BB61E7">
        <w:rPr>
          <w:rFonts w:ascii="Arial" w:eastAsia="Times New Roman" w:hAnsi="Arial" w:cs="Arial"/>
          <w:color w:val="222222"/>
          <w:sz w:val="24"/>
          <w:szCs w:val="24"/>
          <w:lang w:eastAsia="es-AR"/>
        </w:rPr>
        <w:t>estafilococcemia</w:t>
      </w:r>
      <w:proofErr w:type="spellEnd"/>
      <w:r w:rsidRPr="00BB61E7">
        <w:rPr>
          <w:rFonts w:ascii="Arial" w:eastAsia="Times New Roman" w:hAnsi="Arial" w:cs="Arial"/>
          <w:color w:val="222222"/>
          <w:sz w:val="24"/>
          <w:szCs w:val="24"/>
          <w:lang w:eastAsia="es-AR"/>
        </w:rPr>
        <w:t xml:space="preserve"> complicada con abscesos prostáticos y </w:t>
      </w:r>
      <w:proofErr w:type="spellStart"/>
      <w:r w:rsidRPr="00BB61E7">
        <w:rPr>
          <w:rFonts w:ascii="Arial" w:eastAsia="Times New Roman" w:hAnsi="Arial" w:cs="Arial"/>
          <w:color w:val="222222"/>
          <w:sz w:val="24"/>
          <w:szCs w:val="24"/>
          <w:lang w:eastAsia="es-AR"/>
        </w:rPr>
        <w:t>vitreitis</w:t>
      </w:r>
      <w:proofErr w:type="spellEnd"/>
      <w:r w:rsidRPr="00BB61E7">
        <w:rPr>
          <w:rFonts w:ascii="Arial" w:eastAsia="Times New Roman" w:hAnsi="Arial" w:cs="Arial"/>
          <w:color w:val="222222"/>
          <w:sz w:val="24"/>
          <w:szCs w:val="24"/>
          <w:lang w:eastAsia="es-AR"/>
        </w:rPr>
        <w:t xml:space="preserve"> a punto de partida de forunculosis en contexto de paciente con mal control de diabetes. Por ser un caso de poca frecuencia tanto en su presentación como en el rescate microbiológico, se decide presentar en esta oportunidad, haciendo hincapié en la importancia de lograr un buen control metabólico del principal factor de riesgo, en este caso la diabetes, el correcto tratamiento de la forunculosis de forma ambulatoria y tener presente que la disuria y tenesmo son síntomas que también puede presentar la prostatitis, que requiere otro abordaje diagnóstico.</w:t>
      </w:r>
    </w:p>
    <w:p w:rsidR="008E63E9" w:rsidRDefault="008E63E9"/>
    <w:sectPr w:rsidR="008E63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7"/>
    <w:rsid w:val="003B2C73"/>
    <w:rsid w:val="008E63E9"/>
    <w:rsid w:val="00BB6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7DCDE-5833-490F-87CA-BAEEA5FF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06480">
      <w:bodyDiv w:val="1"/>
      <w:marLeft w:val="0"/>
      <w:marRight w:val="0"/>
      <w:marTop w:val="0"/>
      <w:marBottom w:val="0"/>
      <w:divBdr>
        <w:top w:val="none" w:sz="0" w:space="0" w:color="auto"/>
        <w:left w:val="none" w:sz="0" w:space="0" w:color="auto"/>
        <w:bottom w:val="none" w:sz="0" w:space="0" w:color="auto"/>
        <w:right w:val="none" w:sz="0" w:space="0" w:color="auto"/>
      </w:divBdr>
      <w:divsChild>
        <w:div w:id="966206945">
          <w:marLeft w:val="0"/>
          <w:marRight w:val="0"/>
          <w:marTop w:val="0"/>
          <w:marBottom w:val="0"/>
          <w:divBdr>
            <w:top w:val="none" w:sz="0" w:space="0" w:color="auto"/>
            <w:left w:val="none" w:sz="0" w:space="0" w:color="auto"/>
            <w:bottom w:val="none" w:sz="0" w:space="0" w:color="auto"/>
            <w:right w:val="none" w:sz="0" w:space="0" w:color="auto"/>
          </w:divBdr>
        </w:div>
        <w:div w:id="974870052">
          <w:marLeft w:val="0"/>
          <w:marRight w:val="0"/>
          <w:marTop w:val="0"/>
          <w:marBottom w:val="0"/>
          <w:divBdr>
            <w:top w:val="none" w:sz="0" w:space="0" w:color="auto"/>
            <w:left w:val="none" w:sz="0" w:space="0" w:color="auto"/>
            <w:bottom w:val="none" w:sz="0" w:space="0" w:color="auto"/>
            <w:right w:val="none" w:sz="0" w:space="0" w:color="auto"/>
          </w:divBdr>
        </w:div>
        <w:div w:id="1307976910">
          <w:marLeft w:val="0"/>
          <w:marRight w:val="0"/>
          <w:marTop w:val="0"/>
          <w:marBottom w:val="0"/>
          <w:divBdr>
            <w:top w:val="none" w:sz="0" w:space="0" w:color="auto"/>
            <w:left w:val="none" w:sz="0" w:space="0" w:color="auto"/>
            <w:bottom w:val="none" w:sz="0" w:space="0" w:color="auto"/>
            <w:right w:val="none" w:sz="0" w:space="0" w:color="auto"/>
          </w:divBdr>
        </w:div>
        <w:div w:id="211695046">
          <w:marLeft w:val="0"/>
          <w:marRight w:val="0"/>
          <w:marTop w:val="0"/>
          <w:marBottom w:val="0"/>
          <w:divBdr>
            <w:top w:val="none" w:sz="0" w:space="0" w:color="auto"/>
            <w:left w:val="none" w:sz="0" w:space="0" w:color="auto"/>
            <w:bottom w:val="none" w:sz="0" w:space="0" w:color="auto"/>
            <w:right w:val="none" w:sz="0" w:space="0" w:color="auto"/>
          </w:divBdr>
        </w:div>
        <w:div w:id="2060547401">
          <w:marLeft w:val="0"/>
          <w:marRight w:val="0"/>
          <w:marTop w:val="0"/>
          <w:marBottom w:val="0"/>
          <w:divBdr>
            <w:top w:val="none" w:sz="0" w:space="0" w:color="auto"/>
            <w:left w:val="none" w:sz="0" w:space="0" w:color="auto"/>
            <w:bottom w:val="none" w:sz="0" w:space="0" w:color="auto"/>
            <w:right w:val="none" w:sz="0" w:space="0" w:color="auto"/>
          </w:divBdr>
        </w:div>
      </w:divsChild>
    </w:div>
    <w:div w:id="1252279828">
      <w:bodyDiv w:val="1"/>
      <w:marLeft w:val="0"/>
      <w:marRight w:val="0"/>
      <w:marTop w:val="0"/>
      <w:marBottom w:val="0"/>
      <w:divBdr>
        <w:top w:val="none" w:sz="0" w:space="0" w:color="auto"/>
        <w:left w:val="none" w:sz="0" w:space="0" w:color="auto"/>
        <w:bottom w:val="none" w:sz="0" w:space="0" w:color="auto"/>
        <w:right w:val="none" w:sz="0" w:space="0" w:color="auto"/>
      </w:divBdr>
      <w:divsChild>
        <w:div w:id="1513912605">
          <w:marLeft w:val="0"/>
          <w:marRight w:val="0"/>
          <w:marTop w:val="0"/>
          <w:marBottom w:val="0"/>
          <w:divBdr>
            <w:top w:val="none" w:sz="0" w:space="0" w:color="auto"/>
            <w:left w:val="none" w:sz="0" w:space="0" w:color="auto"/>
            <w:bottom w:val="none" w:sz="0" w:space="0" w:color="auto"/>
            <w:right w:val="none" w:sz="0" w:space="0" w:color="auto"/>
          </w:divBdr>
        </w:div>
        <w:div w:id="148055424">
          <w:marLeft w:val="0"/>
          <w:marRight w:val="0"/>
          <w:marTop w:val="0"/>
          <w:marBottom w:val="0"/>
          <w:divBdr>
            <w:top w:val="none" w:sz="0" w:space="0" w:color="auto"/>
            <w:left w:val="none" w:sz="0" w:space="0" w:color="auto"/>
            <w:bottom w:val="none" w:sz="0" w:space="0" w:color="auto"/>
            <w:right w:val="none" w:sz="0" w:space="0" w:color="auto"/>
          </w:divBdr>
        </w:div>
        <w:div w:id="69462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3Asamazap@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cp:revision>
  <dcterms:created xsi:type="dcterms:W3CDTF">2023-10-28T19:39:00Z</dcterms:created>
  <dcterms:modified xsi:type="dcterms:W3CDTF">2023-10-28T19:39:00Z</dcterms:modified>
</cp:coreProperties>
</file>